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ORLANDO CAICEDO GALINDO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Expresidente de la Junta Comunal de República de Israel</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47 # 42c 24, Barrio República de Israel, Comuna 16</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orla.caicedo61@gmail.com, caicedoo577@Qmail.com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petición_concepto técnico sobre el impacto en la salud del individuo debido a una vía p</w:t>
      </w:r>
      <w:r>
        <w:rPr>
          <w:rFonts w:cs="Arial" w:ascii="Arial" w:hAnsi="Arial"/>
        </w:rPr>
        <w:t>ú</w:t>
      </w:r>
      <w:r>
        <w:rPr>
          <w:rFonts w:cs="Arial" w:ascii="Arial" w:hAnsi="Arial"/>
        </w:rPr>
        <w:t>blica no pavimentada.</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No.202441730102600702, se comunica</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con relación al ítem </w:t>
      </w:r>
      <w:r>
        <w:rPr>
          <w:rFonts w:eastAsia="Arial Unicode MS" w:cs="Times New Roman" w:ascii="Arial" w:hAnsi="Arial"/>
          <w:b w:val="false"/>
          <w:i w:val="false"/>
          <w:caps w:val="false"/>
          <w:smallCaps w:val="false"/>
          <w:strike w:val="false"/>
          <w:dstrike w:val="false"/>
          <w:outline w:val="false"/>
          <w:shadow w:val="false"/>
          <w:color w:val="000000"/>
          <w:kern w:val="2"/>
          <w:sz w:val="20"/>
          <w:szCs w:val="20"/>
          <w:u w:val="none"/>
          <w:effect w:val="none"/>
          <w:shd w:fill="FFFFFF" w:val="clear"/>
          <w:em w:val="none"/>
          <w:lang w:val="es-CO" w:eastAsia="ar-SA" w:bidi="ar-SA"/>
        </w:rPr>
        <w:t xml:space="preserve">“la presencia de mosquitos y otros vectores de enfermedades”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 una vía pública no pavimentada, es importante darle a conocer que en estas vías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se puede presentar estancamiento de agua temporal en caso de lluvias, no obstante, son depósitos al aire libre que no son aptos para la reproducción de mosquitos, especialmente, del </w:t>
      </w:r>
      <w:r>
        <w:rPr>
          <w:rFonts w:eastAsia="Arial Unicode MS" w:cs="Times New Roman" w:ascii="Arial" w:hAnsi="Arial"/>
          <w:b w:val="false"/>
          <w:i/>
          <w:iCs/>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Aedes aegypti,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transmisor de enfermedades como dengue, zika y chikungunya. Lo anterior, teniendo en cuenta que este mosquito se cría en agua limpia, que no recibe luz directa del sol y no está expuesta a productos químicos como aceites, gasolina, detergentes, etc.</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Sin embargo, la Secretaría de Salud del Distrito Especial de Santiago de Cali,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desarrolla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acciones regulares de prevención y control del dengue en la ciudad. Por lo tanto se  informa, que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realizó fumigación con máquina pesada en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16</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julio</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octubre,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noviembre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y diciembre del 2024, donde se intervinieron 579</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27.376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No obstante</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LOnormal1"/>
        <w:keepNext w:val="false"/>
        <w:keepLines w:val="false"/>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LOnormal1"/>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También, se realizó fumigación intradomiciliar de viviendas, con motomochila, la cual es una actividad focalizada para casos de dengue grave y muerte probable por dengue, se fumigaron 89 viviendas, en los meses de junio y diciembre del 2024, en  el barrio República de Israel de la comuna 16, respectivamente. </w:t>
      </w:r>
    </w:p>
    <w:p>
      <w:pPr>
        <w:pStyle w:val="LOnormal1"/>
        <w:widowControl/>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Además,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se realizá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un ciclo quincenal de control de larvas (revisión y aplicación larvicida) en sumideros recolectores de agua lluvia en vía pública, ya que este es un depósito óptimo para la reproducción de </w:t>
      </w:r>
      <w:r>
        <w:rPr>
          <w:rFonts w:eastAsia="Arial Unicode MS" w:cs="Times New Roman" w:ascii="Arial" w:hAnsi="Arial"/>
          <w:b w:val="false"/>
          <w:i/>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Aedes aegypti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(mosquito que puede transmitir dengue). Durante el año 2024, y en lo corrido 2025, se tienen los siguientes resultados en el barrio de la solicitud:</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tbl>
      <w:tblPr>
        <w:tblW w:w="9360" w:type="dxa"/>
        <w:jc w:val="left"/>
        <w:tblInd w:w="98" w:type="dxa"/>
        <w:tblLayout w:type="fixed"/>
        <w:tblCellMar>
          <w:top w:w="28" w:type="dxa"/>
          <w:left w:w="98" w:type="dxa"/>
          <w:bottom w:w="28" w:type="dxa"/>
          <w:right w:w="108" w:type="dxa"/>
        </w:tblCellMar>
      </w:tblPr>
      <w:tblGrid>
        <w:gridCol w:w="900"/>
        <w:gridCol w:w="2445"/>
        <w:gridCol w:w="2204"/>
        <w:gridCol w:w="1936"/>
        <w:gridCol w:w="1875"/>
      </w:tblGrid>
      <w:tr>
        <w:trPr>
          <w:tblHeader w:val="true"/>
          <w:trHeight w:val="659" w:hRule="atLeast"/>
        </w:trPr>
        <w:tc>
          <w:tcPr>
            <w:tcW w:w="900" w:type="dxa"/>
            <w:tcBorders>
              <w:top w:val="single" w:sz="4" w:space="0" w:color="000000"/>
              <w:left w:val="single" w:sz="4" w:space="0" w:color="000000"/>
              <w:bottom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Año</w:t>
            </w:r>
          </w:p>
        </w:tc>
        <w:tc>
          <w:tcPr>
            <w:tcW w:w="244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204"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936"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87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900" w:type="dxa"/>
            <w:tcBorders>
              <w:top w:val="single" w:sz="4" w:space="0" w:color="000000"/>
              <w:left w:val="single" w:sz="4" w:space="0" w:color="000000"/>
              <w:bottom w:val="single" w:sz="4" w:space="0" w:color="000000"/>
            </w:tcBorders>
            <w:vAlign w:val="center"/>
          </w:tcPr>
          <w:p>
            <w:pPr>
              <w:pStyle w:val="Normal"/>
              <w:widowControl w:val="false"/>
              <w:bidi w:val="0"/>
              <w:spacing w:lineRule="auto" w:line="240"/>
              <w:jc w:val="center"/>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2024</w:t>
            </w:r>
          </w:p>
        </w:tc>
        <w:tc>
          <w:tcPr>
            <w:tcW w:w="24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42 - 48 KR 42B – 46</w:t>
            </w:r>
          </w:p>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36 - 42 KR 42B - 46</w:t>
            </w:r>
          </w:p>
        </w:tc>
        <w:tc>
          <w:tcPr>
            <w:tcW w:w="2204"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República De Israel</w:t>
            </w:r>
          </w:p>
        </w:tc>
        <w:tc>
          <w:tcPr>
            <w:tcW w:w="1936"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6539</w:t>
            </w:r>
          </w:p>
        </w:tc>
        <w:tc>
          <w:tcPr>
            <w:tcW w:w="187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8637</w:t>
            </w:r>
          </w:p>
        </w:tc>
      </w:tr>
      <w:tr>
        <w:trPr/>
        <w:tc>
          <w:tcPr>
            <w:tcW w:w="900" w:type="dxa"/>
            <w:tcBorders>
              <w:left w:val="single" w:sz="4" w:space="0" w:color="000000"/>
              <w:bottom w:val="single" w:sz="4" w:space="0" w:color="000000"/>
            </w:tcBorders>
            <w:vAlign w:val="center"/>
          </w:tcPr>
          <w:p>
            <w:pPr>
              <w:pStyle w:val="Normal"/>
              <w:widowControl w:val="false"/>
              <w:bidi w:val="0"/>
              <w:spacing w:lineRule="auto" w:line="240"/>
              <w:jc w:val="center"/>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2025</w:t>
            </w:r>
          </w:p>
        </w:tc>
        <w:tc>
          <w:tcPr>
            <w:tcW w:w="2445" w:type="dxa"/>
            <w:tcBorders>
              <w:left w:val="single" w:sz="4" w:space="0" w:color="000000"/>
              <w:bottom w:val="single" w:sz="4" w:space="0" w:color="000000"/>
              <w:right w:val="single" w:sz="4" w:space="0" w:color="000000"/>
            </w:tcBorders>
            <w:vAlign w:val="center"/>
          </w:tcPr>
          <w:p>
            <w:pPr>
              <w:pStyle w:val="Normal"/>
              <w:widowControl w:val="false"/>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42 - 48 KR 42B – 46 Cl 36 - 42 Kr 42b - 46</w:t>
            </w:r>
          </w:p>
        </w:tc>
        <w:tc>
          <w:tcPr>
            <w:tcW w:w="2204"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República De Israel</w:t>
            </w:r>
          </w:p>
        </w:tc>
        <w:tc>
          <w:tcPr>
            <w:tcW w:w="1936"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686</w:t>
            </w:r>
          </w:p>
        </w:tc>
        <w:tc>
          <w:tcPr>
            <w:tcW w:w="1875"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widowControl w:val="false"/>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945</w:t>
            </w:r>
          </w:p>
        </w:tc>
      </w:tr>
    </w:tbl>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Cuerpodetexto"/>
        <w:widowControl w:val="false"/>
        <w:suppressAutoHyphens w:val="true"/>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 su vez, se realizó intervención en lugares de concentración humana puesto que albergan alta densidad poblacional (permanente o en tránsito) y, por lo tanto, presentan una mayor probabilidad de transmisión de las ETV. En el año 2024 se realizaron, 267 visitas de control larvario a Centros Comerciales, Centros Culturales, Centros Docentes o Educativos, Centros de Recreación, Entidades de Gobierno, Escuelas Saludables, Estaciones de Policía, Estaciones de Servicio, Funerarias, Hogares de Bienestar Familiar, Hogares Geriátricos, Hoteles, Instituciones de Salud, Instituciones Religiosas,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de la comuna 16</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Los resultados muestran que en 12 ocasiones se encontraron positivas, es decir, con criaderos del vector </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Ae. aegypti</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Entidades de Gobierno (1), Escuelas Saludables (2),Instituciones Religiosas (8) y Otras Instituciones (1).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Cuerpodetexto"/>
        <w:widowControl w:val="false"/>
        <w:suppressAutoHyphens w:val="true"/>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iCs/>
          <w:caps w:val="false"/>
          <w:smallCaps w:val="false"/>
          <w:strike w:val="false"/>
          <w:dstrike w:val="false"/>
          <w:outline w:val="false"/>
          <w:shadow w:val="false"/>
          <w:color w:val="000000"/>
          <w:spacing w:val="0"/>
          <w:kern w:val="2"/>
          <w:sz w:val="24"/>
          <w:szCs w:val="24"/>
          <w:u w:val="none"/>
          <w:effect w:val="none"/>
          <w:shd w:fill="FFFFFF" w:val="clear"/>
          <w:em w:val="none"/>
          <w:lang w:val="es-CO" w:eastAsia="ar-SA" w:bidi="ar-SA"/>
        </w:rPr>
        <w:t>Igualmente</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en el año 2024, se realizaron visitas de control larvario a viviendas en </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el barrio República de Israel</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donde los resultados mostraron que el 10,1% de las viviendas visitadas se encontraron positivas, es decir, casi 11 de cada 100 viviendas visitadas tuvieron al m</w:t>
      </w:r>
      <w:r>
        <w:rPr>
          <w:rFonts w:eastAsia="Arial Unicode MS" w:cs="Times New Roman" w:ascii="Arial" w:hAnsi="Arial"/>
          <w:b w:val="false"/>
          <w:i w:val="false"/>
          <w:iCs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enos un criaderos de </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ae. aegypti</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Considerando lo descrito anteriormente,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drawing>
          <wp:anchor behindDoc="1" distT="0" distB="0" distL="0" distR="0" simplePos="0" locked="0" layoutInCell="0" allowOverlap="1" relativeHeight="15">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w:t>
      </w:r>
      <w:r>
        <w:rPr>
          <w:rFonts w:eastAsia="Arial" w:cs="Arial" w:ascii="Arial" w:hAnsi="Arial"/>
          <w:b w:val="false"/>
          <w:i w:val="false"/>
          <w:caps w:val="false"/>
          <w:smallCaps w:val="false"/>
          <w:strike w:val="false"/>
          <w:dstrike w:val="false"/>
          <w:color w:val="000000"/>
          <w:u w:val="none"/>
        </w:rPr>
        <w:t>tentamente,</w:t>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
        <w:widowContro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Proyectó: C</w:t>
      </w:r>
      <w:r>
        <w:rPr>
          <w:rFonts w:eastAsia="Times New Roman" w:cs="Arial" w:ascii="Arial" w:hAnsi="Arial"/>
          <w:color w:val="auto"/>
          <w:kern w:val="0"/>
          <w:sz w:val="16"/>
          <w:szCs w:val="16"/>
          <w:lang w:val="es-ES" w:eastAsia="es-CO" w:bidi="ar-SA"/>
        </w:rPr>
        <w:t xml:space="preserve">lara Inés Solis Sandoval – Contratista </w:t>
      </w:r>
    </w:p>
    <w:p>
      <w:pPr>
        <w:pStyle w:val="NormalWeb"/>
        <w:spacing w:beforeAutospacing="0" w:before="0" w:after="0"/>
        <w:rPr/>
      </w:pPr>
      <w:r>
        <w:rPr>
          <w:rFonts w:cs="Arial" w:ascii="Arial" w:hAnsi="Arial"/>
          <w:sz w:val="16"/>
          <w:szCs w:val="16"/>
          <w:lang w:val="es-ES"/>
        </w:rPr>
        <w:t>Elaboró:</w:t>
      </w:r>
      <w:r>
        <w:rPr>
          <w:rFonts w:eastAsia="Times New Roman" w:cs="Arial" w:ascii="Arial" w:hAnsi="Arial"/>
          <w:color w:val="auto"/>
          <w:kern w:val="0"/>
          <w:sz w:val="16"/>
          <w:szCs w:val="16"/>
          <w:lang w:val="es-ES" w:eastAsia="es-CO" w:bidi="ar-SA"/>
        </w:rPr>
        <w:t xml:space="preserve">Dahiana Quintero Echeverrry – Contratista </w:t>
      </w:r>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4">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6350</wp:posOffset>
              </wp:positionH>
              <wp:positionV relativeFrom="paragraph">
                <wp:posOffset>7264400</wp:posOffset>
              </wp:positionV>
              <wp:extent cx="1043940" cy="635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*202541450200015881*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202541450200015881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4145.020.13.1.953.001588</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202441730102600702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*202541450200015881*</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202541450200015881</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2025-02-26</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4145.020.13.1.953.001588</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202441730102600702</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Ttulo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2">
    <w:name w:val="Heading 2"/>
    <w:basedOn w:val="Ttulo"/>
    <w:next w:val="Cuerpodetexto"/>
    <w:qFormat/>
    <w:pPr>
      <w:numPr>
        <w:ilvl w:val="1"/>
        <w:numId w:val="1"/>
      </w:numPr>
      <w:spacing w:before="200" w:after="120"/>
      <w:outlineLvl w:val="1"/>
    </w:pPr>
    <w:rPr>
      <w:b/>
      <w:bCs/>
      <w:sz w:val="32"/>
      <w:szCs w:val="32"/>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LONormal1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Application>LibreOffice/7.0.3.1$Windows_X86_64 LibreOffice_project/d7547858d014d4cf69878db179d326fc3483e082</Application>
  <Pages>3</Pages>
  <Words>1037</Words>
  <Characters>5763</Characters>
  <CharactersWithSpaces>6787</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2025-02-26T19:25:06Z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